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D5" w:rsidRDefault="00B73BD5" w:rsidP="00B73BD5">
      <w:pPr>
        <w:pStyle w:val="ConsPlusNormal"/>
        <w:widowControl/>
        <w:spacing w:line="288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 xml:space="preserve">. г.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Пыть-Ях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 xml:space="preserve"> р</w:t>
      </w:r>
      <w:r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на национальных проектах РФ </w:t>
      </w:r>
    </w:p>
    <w:p w:rsidR="00B73BD5" w:rsidRPr="0036092F" w:rsidRDefault="00B73BD5" w:rsidP="00B73BD5">
      <w:pPr>
        <w:pStyle w:val="ConsPlusNormal"/>
        <w:widowControl/>
        <w:spacing w:line="288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по состоянию на 1 июня 2020 года.</w:t>
      </w:r>
    </w:p>
    <w:p w:rsidR="00B73BD5" w:rsidRPr="0036092F" w:rsidRDefault="00B73BD5" w:rsidP="00B73BD5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3BD5" w:rsidRPr="00B73BD5" w:rsidRDefault="00B73BD5" w:rsidP="00B73BD5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ab/>
        <w:t xml:space="preserve">В рамках 7 национальных проектов реализуется 24 региональных проекта (РП), осуществляемых посредством выполнения мероприятий и достижения показателей 9 муниципальных программ. В муниципальную программу «Социальное и демографическое развитие города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» внесено дополнение по включению показателя «Суммарный коэффициент рождаемости», программа проходит антикоррупционную проверку.</w:t>
      </w:r>
    </w:p>
    <w:p w:rsidR="00B73BD5" w:rsidRPr="00B73BD5" w:rsidRDefault="00B73BD5" w:rsidP="00B73BD5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финансированию мероприятий</w:t>
      </w:r>
    </w:p>
    <w:p w:rsidR="00B73BD5" w:rsidRPr="00B73BD5" w:rsidRDefault="00B73BD5" w:rsidP="00B73BD5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На 2020 г муниципальными программами на реализацию национальных проектов предусмотрено 430,8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., в том числе за счет средств:</w:t>
      </w:r>
    </w:p>
    <w:p w:rsidR="00B73BD5" w:rsidRPr="00B73BD5" w:rsidRDefault="00B73BD5" w:rsidP="00B73BD5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окружного бюджета – 360,3 млн.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(83,0%);</w:t>
      </w:r>
    </w:p>
    <w:p w:rsidR="00B73BD5" w:rsidRPr="00B73BD5" w:rsidRDefault="00B73BD5" w:rsidP="00B73BD5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местного бюджета – 70,5 млн. руб. (17,0%), в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- 17,8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</w:t>
      </w:r>
    </w:p>
    <w:p w:rsidR="007B0330" w:rsidRPr="00B73BD5" w:rsidRDefault="00B73BD5" w:rsidP="007B0330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Исполнение финансирования по национальным проектам составило 33,8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. (7,9%) </w:t>
      </w:r>
      <w:r w:rsidR="007B0330" w:rsidRPr="00B73BD5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7B0330" w:rsidRPr="00B73BD5" w:rsidRDefault="007B0330" w:rsidP="007B0330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>
        <w:rPr>
          <w:rFonts w:ascii="Times New Roman" w:hAnsi="Times New Roman" w:cs="Times New Roman"/>
          <w:sz w:val="28"/>
          <w:szCs w:val="28"/>
        </w:rPr>
        <w:t>16,7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49,3</w:t>
      </w:r>
      <w:r w:rsidRPr="00B73BD5">
        <w:rPr>
          <w:rFonts w:ascii="Times New Roman" w:hAnsi="Times New Roman" w:cs="Times New Roman"/>
          <w:sz w:val="28"/>
          <w:szCs w:val="28"/>
        </w:rPr>
        <w:t>%);</w:t>
      </w:r>
    </w:p>
    <w:p w:rsidR="007B0330" w:rsidRPr="00B73BD5" w:rsidRDefault="007B0330" w:rsidP="007B0330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>
        <w:rPr>
          <w:rFonts w:ascii="Times New Roman" w:hAnsi="Times New Roman" w:cs="Times New Roman"/>
          <w:sz w:val="28"/>
          <w:szCs w:val="28"/>
        </w:rPr>
        <w:t>17,1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млн. руб. (</w:t>
      </w:r>
      <w:r>
        <w:rPr>
          <w:rFonts w:ascii="Times New Roman" w:hAnsi="Times New Roman" w:cs="Times New Roman"/>
          <w:sz w:val="28"/>
          <w:szCs w:val="28"/>
        </w:rPr>
        <w:t>50,7</w:t>
      </w:r>
      <w:r w:rsidRPr="00B73BD5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0,7</w:t>
      </w:r>
      <w:bookmarkStart w:id="0" w:name="_GoBack"/>
      <w:bookmarkEnd w:id="0"/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</w:t>
      </w:r>
    </w:p>
    <w:p w:rsidR="00B73BD5" w:rsidRPr="00B73BD5" w:rsidRDefault="00B73BD5" w:rsidP="00B73BD5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.</w:t>
      </w:r>
    </w:p>
    <w:p w:rsidR="00B73BD5" w:rsidRPr="00B73BD5" w:rsidRDefault="00B73BD5" w:rsidP="00B73BD5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достижению показателей.</w:t>
      </w:r>
    </w:p>
    <w:p w:rsidR="00B73BD5" w:rsidRPr="00B73BD5" w:rsidRDefault="00B73BD5" w:rsidP="00B73BD5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Всего региональными проектами декомпозировано муниципалитету достижение 29 показателей, из которых 1 показатель предусмотрен в 2023 году, в 2020 году необходимо достичь 28 показателей.  </w:t>
      </w:r>
    </w:p>
    <w:p w:rsidR="00B73BD5" w:rsidRPr="00B73BD5" w:rsidRDefault="00B73BD5" w:rsidP="00B73BD5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 xml:space="preserve">На 1 июня </w:t>
      </w:r>
      <w:r w:rsidRPr="00B73BD5">
        <w:rPr>
          <w:rFonts w:ascii="Times New Roman" w:hAnsi="Times New Roman"/>
          <w:bCs/>
          <w:sz w:val="28"/>
          <w:szCs w:val="28"/>
        </w:rPr>
        <w:t>2020 года:</w:t>
      </w:r>
    </w:p>
    <w:p w:rsidR="00B73BD5" w:rsidRPr="00B73BD5" w:rsidRDefault="00B73BD5" w:rsidP="00B73BD5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 11 показателям результаты полностью достигнуты (100% и более);</w:t>
      </w:r>
    </w:p>
    <w:p w:rsidR="00B73BD5" w:rsidRPr="00B73BD5" w:rsidRDefault="00B73BD5" w:rsidP="00B73BD5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 4 показателям результаты достигнуты на 50% и более;</w:t>
      </w:r>
    </w:p>
    <w:p w:rsidR="00B73BD5" w:rsidRPr="00B73BD5" w:rsidRDefault="00B73BD5" w:rsidP="00B73BD5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 xml:space="preserve">по 11 показателям прогнозируется 100% выполнение до конца года; </w:t>
      </w:r>
    </w:p>
    <w:p w:rsidR="00B73BD5" w:rsidRPr="00B73BD5" w:rsidRDefault="00B73BD5" w:rsidP="00B73BD5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 xml:space="preserve">2 показателя фиксируется по итогам годовой статистической отчетности.  </w:t>
      </w:r>
    </w:p>
    <w:p w:rsidR="00B73BD5" w:rsidRPr="00B73BD5" w:rsidRDefault="00B73BD5" w:rsidP="00B73BD5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B73BD5" w:rsidRPr="00B73BD5" w:rsidRDefault="00B73BD5" w:rsidP="00B73BD5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 xml:space="preserve">Из 2-х показателей, которые фиксируются по итогам года, один показатель (Уровень обеспеченности граждан спортивными сооружениями исходя из единовременной пропускной способности объектов спорта) будет достигнут на 100%. По второму годовому показателю (Суммарный </w:t>
      </w:r>
      <w:r w:rsidRPr="00B73BD5">
        <w:rPr>
          <w:rFonts w:ascii="Times New Roman" w:hAnsi="Times New Roman"/>
          <w:bCs/>
          <w:sz w:val="28"/>
          <w:szCs w:val="28"/>
        </w:rPr>
        <w:lastRenderedPageBreak/>
        <w:t>коэффициент рождаемости), в связи с низкой оценкой рождаемости по итогам года, прогнозируется достижение на 60%.</w:t>
      </w:r>
    </w:p>
    <w:p w:rsidR="00A246B8" w:rsidRPr="00B73BD5" w:rsidRDefault="00A246B8"/>
    <w:sectPr w:rsidR="00A246B8" w:rsidRPr="00B7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7C"/>
    <w:rsid w:val="007B0330"/>
    <w:rsid w:val="00A246B8"/>
    <w:rsid w:val="00AA227C"/>
    <w:rsid w:val="00B7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B13A-4893-416C-AE96-A24F9FB0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3BD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73BD5"/>
  </w:style>
  <w:style w:type="paragraph" w:customStyle="1" w:styleId="ConsPlusNormal">
    <w:name w:val="ConsPlusNormal"/>
    <w:uiPriority w:val="99"/>
    <w:rsid w:val="00B7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Надежда Наумова</cp:lastModifiedBy>
  <cp:revision>3</cp:revision>
  <dcterms:created xsi:type="dcterms:W3CDTF">2020-06-05T04:58:00Z</dcterms:created>
  <dcterms:modified xsi:type="dcterms:W3CDTF">2020-06-08T05:38:00Z</dcterms:modified>
</cp:coreProperties>
</file>